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A304D" w14:textId="77777777" w:rsidR="005D0903" w:rsidRPr="005D0903" w:rsidRDefault="005D0903" w:rsidP="00FC36F6">
      <w:pPr>
        <w:tabs>
          <w:tab w:val="left" w:pos="270"/>
        </w:tabs>
        <w:jc w:val="center"/>
        <w:rPr>
          <w:rFonts w:ascii="Arial" w:eastAsiaTheme="majorEastAsia" w:hAnsi="Arial" w:cstheme="majorBidi"/>
          <w:b/>
          <w:bCs/>
          <w:color w:val="0079C2"/>
          <w:sz w:val="22"/>
          <w:szCs w:val="36"/>
        </w:rPr>
      </w:pPr>
    </w:p>
    <w:p w14:paraId="441093BC" w14:textId="3FD02585" w:rsidR="00FC36F6" w:rsidRDefault="005D0903" w:rsidP="00FC36F6">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2F3C4273" wp14:editId="3102B137">
            <wp:extent cx="1593579" cy="1062385"/>
            <wp:effectExtent l="0" t="0" r="698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L-Application copy.jpg"/>
                    <pic:cNvPicPr/>
                  </pic:nvPicPr>
                  <pic:blipFill>
                    <a:blip r:embed="rId9">
                      <a:extLst>
                        <a:ext uri="{28A0092B-C50C-407E-A947-70E740481C1C}">
                          <a14:useLocalDpi xmlns:a14="http://schemas.microsoft.com/office/drawing/2010/main" val="0"/>
                        </a:ext>
                      </a:extLst>
                    </a:blip>
                    <a:stretch>
                      <a:fillRect/>
                    </a:stretch>
                  </pic:blipFill>
                  <pic:spPr>
                    <a:xfrm>
                      <a:off x="0" y="0"/>
                      <a:ext cx="1595054" cy="1063368"/>
                    </a:xfrm>
                    <a:prstGeom prst="rect">
                      <a:avLst/>
                    </a:prstGeom>
                  </pic:spPr>
                </pic:pic>
              </a:graphicData>
            </a:graphic>
          </wp:inline>
        </w:drawing>
      </w:r>
    </w:p>
    <w:p w14:paraId="49C6D908" w14:textId="472D8E07" w:rsidR="003D5D28" w:rsidRPr="003D5D28" w:rsidRDefault="003D5D28" w:rsidP="003D5D28">
      <w:pPr>
        <w:tabs>
          <w:tab w:val="left" w:pos="270"/>
        </w:tabs>
        <w:jc w:val="center"/>
        <w:rPr>
          <w:rFonts w:ascii="Arial" w:eastAsiaTheme="majorEastAsia" w:hAnsi="Arial" w:cstheme="majorBidi"/>
          <w:b/>
          <w:bCs/>
          <w:color w:val="0079C2"/>
          <w:sz w:val="36"/>
          <w:szCs w:val="36"/>
        </w:rPr>
      </w:pPr>
      <w:r w:rsidRPr="003D5D28">
        <w:rPr>
          <w:rFonts w:ascii="Arial" w:eastAsiaTheme="majorEastAsia" w:hAnsi="Arial" w:cstheme="majorBidi"/>
          <w:b/>
          <w:bCs/>
          <w:color w:val="0079C2"/>
          <w:sz w:val="36"/>
          <w:szCs w:val="36"/>
        </w:rPr>
        <w:t xml:space="preserve">Topcon announces improved efficiency </w:t>
      </w:r>
      <w:r>
        <w:rPr>
          <w:rFonts w:ascii="Arial" w:eastAsiaTheme="majorEastAsia" w:hAnsi="Arial" w:cstheme="majorBidi"/>
          <w:b/>
          <w:bCs/>
          <w:color w:val="0079C2"/>
          <w:sz w:val="36"/>
          <w:szCs w:val="36"/>
        </w:rPr>
        <w:br/>
      </w:r>
      <w:r w:rsidRPr="003D5D28">
        <w:rPr>
          <w:rFonts w:ascii="Arial" w:eastAsiaTheme="majorEastAsia" w:hAnsi="Arial" w:cstheme="majorBidi"/>
          <w:b/>
          <w:bCs/>
          <w:color w:val="0079C2"/>
          <w:sz w:val="36"/>
          <w:szCs w:val="36"/>
        </w:rPr>
        <w:t>with Autodesk workflow</w:t>
      </w:r>
    </w:p>
    <w:p w14:paraId="65850205" w14:textId="77777777" w:rsidR="00C81D46" w:rsidRPr="005D0903" w:rsidRDefault="00C81D46" w:rsidP="00C81D46">
      <w:pPr>
        <w:tabs>
          <w:tab w:val="left" w:pos="270"/>
        </w:tabs>
        <w:rPr>
          <w:rFonts w:ascii="Arial" w:hAnsi="Arial"/>
          <w:i/>
          <w:color w:val="000000"/>
          <w:sz w:val="12"/>
          <w:szCs w:val="20"/>
        </w:rPr>
      </w:pPr>
    </w:p>
    <w:p w14:paraId="4AE401C1" w14:textId="48A0F29B" w:rsidR="003D5D28" w:rsidRPr="003D5D28" w:rsidRDefault="003D5D28" w:rsidP="003D5D28">
      <w:pPr>
        <w:tabs>
          <w:tab w:val="left" w:pos="270"/>
        </w:tabs>
        <w:rPr>
          <w:rFonts w:ascii="Arial" w:hAnsi="Arial"/>
          <w:color w:val="000000"/>
          <w:sz w:val="22"/>
          <w:szCs w:val="22"/>
        </w:rPr>
      </w:pPr>
      <w:r w:rsidRPr="003D5D28">
        <w:rPr>
          <w:rFonts w:ascii="Arial" w:hAnsi="Arial"/>
          <w:i/>
          <w:color w:val="000000"/>
          <w:sz w:val="22"/>
          <w:szCs w:val="22"/>
        </w:rPr>
        <w:t xml:space="preserve">LIVERMORE, Calif., USA/ CAPELLE A/D IJSSEL, The Netherlands – June 27, 2016 – </w:t>
      </w:r>
      <w:r w:rsidRPr="003D5D28">
        <w:rPr>
          <w:rFonts w:ascii="Arial" w:hAnsi="Arial"/>
          <w:color w:val="000000"/>
          <w:sz w:val="22"/>
          <w:szCs w:val="22"/>
        </w:rPr>
        <w:t>Topcon Positioning Group announces a facilitated workflow for seamless data exchange between MAGNET® and Autodesk® Point Layout software. Topcon’s new MAGNET data converter web service allows users to create and standardize MAGNET Field job files (*.</w:t>
      </w:r>
      <w:proofErr w:type="spellStart"/>
      <w:r w:rsidRPr="003D5D28">
        <w:rPr>
          <w:rFonts w:ascii="Arial" w:hAnsi="Arial"/>
          <w:color w:val="000000"/>
          <w:sz w:val="22"/>
          <w:szCs w:val="22"/>
        </w:rPr>
        <w:t>mjf</w:t>
      </w:r>
      <w:proofErr w:type="spellEnd"/>
      <w:r w:rsidRPr="003D5D28">
        <w:rPr>
          <w:rFonts w:ascii="Arial" w:hAnsi="Arial"/>
          <w:color w:val="000000"/>
          <w:sz w:val="22"/>
          <w:szCs w:val="22"/>
        </w:rPr>
        <w:t>) directly in Autodesk Point Layout.</w:t>
      </w:r>
    </w:p>
    <w:p w14:paraId="28241637" w14:textId="77777777" w:rsidR="003D5D28" w:rsidRPr="003D5D28" w:rsidRDefault="003D5D28" w:rsidP="003D5D28">
      <w:pPr>
        <w:tabs>
          <w:tab w:val="left" w:pos="270"/>
        </w:tabs>
        <w:rPr>
          <w:rFonts w:ascii="Arial" w:hAnsi="Arial"/>
          <w:color w:val="000000"/>
          <w:sz w:val="22"/>
          <w:szCs w:val="22"/>
        </w:rPr>
      </w:pPr>
    </w:p>
    <w:p w14:paraId="0B75124D" w14:textId="32D9EF67" w:rsidR="003D5D28" w:rsidRPr="003D5D28" w:rsidRDefault="003D5D28" w:rsidP="003D5D28">
      <w:pPr>
        <w:tabs>
          <w:tab w:val="left" w:pos="270"/>
        </w:tabs>
        <w:rPr>
          <w:rFonts w:ascii="Arial" w:hAnsi="Arial"/>
          <w:color w:val="000000"/>
          <w:sz w:val="22"/>
          <w:szCs w:val="22"/>
        </w:rPr>
      </w:pPr>
      <w:r w:rsidRPr="003D5D28">
        <w:rPr>
          <w:rFonts w:ascii="Arial" w:hAnsi="Arial"/>
          <w:color w:val="000000"/>
          <w:sz w:val="22"/>
          <w:szCs w:val="22"/>
        </w:rPr>
        <w:t xml:space="preserve">“The data converter is another example of Topcon and Autodesk continuing to work closely together to make sure our users get the most concise and succinct workflow through collaboration, interoperability, and commitment to openness in our software. As a result, our customers continue to gain great efficiencies,” said Jason </w:t>
      </w:r>
      <w:proofErr w:type="spellStart"/>
      <w:r w:rsidRPr="003D5D28">
        <w:rPr>
          <w:rFonts w:ascii="Arial" w:hAnsi="Arial"/>
          <w:color w:val="000000"/>
          <w:sz w:val="22"/>
          <w:szCs w:val="22"/>
        </w:rPr>
        <w:t>Hallett</w:t>
      </w:r>
      <w:proofErr w:type="spellEnd"/>
      <w:r w:rsidRPr="003D5D28">
        <w:rPr>
          <w:rFonts w:ascii="Arial" w:hAnsi="Arial"/>
          <w:color w:val="000000"/>
          <w:sz w:val="22"/>
          <w:szCs w:val="22"/>
        </w:rPr>
        <w:t>, vice president of global product management</w:t>
      </w:r>
      <w:r w:rsidR="001513F6">
        <w:rPr>
          <w:rFonts w:ascii="Arial" w:hAnsi="Arial"/>
          <w:color w:val="000000"/>
          <w:sz w:val="22"/>
          <w:szCs w:val="22"/>
        </w:rPr>
        <w:t xml:space="preserve">, </w:t>
      </w:r>
      <w:r w:rsidR="005D0903">
        <w:rPr>
          <w:rFonts w:ascii="Arial" w:hAnsi="Arial"/>
          <w:color w:val="000000"/>
          <w:sz w:val="22"/>
          <w:szCs w:val="22"/>
        </w:rPr>
        <w:t>Topcon</w:t>
      </w:r>
      <w:r w:rsidRPr="003D5D28">
        <w:rPr>
          <w:rFonts w:ascii="Arial" w:hAnsi="Arial"/>
          <w:color w:val="000000"/>
          <w:sz w:val="22"/>
          <w:szCs w:val="22"/>
        </w:rPr>
        <w:t>.</w:t>
      </w:r>
      <w:bookmarkStart w:id="0" w:name="_GoBack"/>
      <w:bookmarkEnd w:id="0"/>
    </w:p>
    <w:p w14:paraId="254BD10B" w14:textId="77777777" w:rsidR="003D5D28" w:rsidRPr="003D5D28" w:rsidRDefault="003D5D28" w:rsidP="003D5D28">
      <w:pPr>
        <w:tabs>
          <w:tab w:val="left" w:pos="270"/>
        </w:tabs>
        <w:rPr>
          <w:rFonts w:ascii="Arial" w:hAnsi="Arial"/>
          <w:color w:val="000000"/>
          <w:sz w:val="22"/>
          <w:szCs w:val="22"/>
        </w:rPr>
      </w:pPr>
    </w:p>
    <w:p w14:paraId="689F47E5" w14:textId="7E6F6708" w:rsidR="003D5D28" w:rsidRPr="003D5D28" w:rsidRDefault="001A7E0C" w:rsidP="003D5D28">
      <w:pPr>
        <w:tabs>
          <w:tab w:val="left" w:pos="270"/>
        </w:tabs>
        <w:rPr>
          <w:rFonts w:ascii="Arial" w:hAnsi="Arial"/>
          <w:color w:val="000000"/>
          <w:sz w:val="22"/>
          <w:szCs w:val="22"/>
        </w:rPr>
      </w:pPr>
      <w:r w:rsidRPr="001A7E0C">
        <w:rPr>
          <w:rFonts w:ascii="Arial" w:hAnsi="Arial"/>
          <w:color w:val="000000"/>
          <w:sz w:val="22"/>
          <w:szCs w:val="22"/>
        </w:rPr>
        <w:t>“</w:t>
      </w:r>
      <w:r w:rsidR="003D5D28" w:rsidRPr="003D5D28">
        <w:rPr>
          <w:rFonts w:ascii="Arial" w:hAnsi="Arial"/>
          <w:color w:val="000000"/>
          <w:sz w:val="22"/>
          <w:szCs w:val="22"/>
        </w:rPr>
        <w:t xml:space="preserve">The global construction industry is experiencing a technological transformation that is creating opportunities for a more streamlined construction workflow and opening new and exciting doors of opportunity in this era of connection,” said Nicolas </w:t>
      </w:r>
      <w:proofErr w:type="spellStart"/>
      <w:r w:rsidR="003D5D28" w:rsidRPr="003D5D28">
        <w:rPr>
          <w:rFonts w:ascii="Arial" w:hAnsi="Arial"/>
          <w:color w:val="000000"/>
          <w:sz w:val="22"/>
          <w:szCs w:val="22"/>
        </w:rPr>
        <w:t>Mangon</w:t>
      </w:r>
      <w:proofErr w:type="spellEnd"/>
      <w:r w:rsidR="003D5D28" w:rsidRPr="003D5D28">
        <w:rPr>
          <w:rFonts w:ascii="Arial" w:hAnsi="Arial"/>
          <w:color w:val="000000"/>
          <w:sz w:val="22"/>
          <w:szCs w:val="22"/>
        </w:rPr>
        <w:t>, vice president, Autodesk. “To move forward we must all work to achieve greater software and hardware interoperability.  Achieving a seamless data exchange between Topcon’s MAGNET and Autodesk Point Layout software marks another step in the right direction.”</w:t>
      </w:r>
    </w:p>
    <w:p w14:paraId="326B12CD" w14:textId="77777777" w:rsidR="003D5D28" w:rsidRPr="003D5D28" w:rsidRDefault="003D5D28" w:rsidP="003D5D28">
      <w:pPr>
        <w:tabs>
          <w:tab w:val="left" w:pos="270"/>
        </w:tabs>
        <w:rPr>
          <w:rFonts w:ascii="Arial" w:hAnsi="Arial"/>
          <w:color w:val="000000"/>
          <w:sz w:val="22"/>
          <w:szCs w:val="22"/>
        </w:rPr>
      </w:pPr>
    </w:p>
    <w:p w14:paraId="50BD17D1" w14:textId="77777777" w:rsidR="003D5D28" w:rsidRPr="003D5D28" w:rsidRDefault="003D5D28" w:rsidP="003D5D28">
      <w:pPr>
        <w:tabs>
          <w:tab w:val="left" w:pos="270"/>
        </w:tabs>
        <w:rPr>
          <w:rFonts w:ascii="Arial" w:hAnsi="Arial"/>
          <w:color w:val="000000"/>
          <w:sz w:val="22"/>
          <w:szCs w:val="22"/>
        </w:rPr>
      </w:pPr>
      <w:r w:rsidRPr="003D5D28">
        <w:rPr>
          <w:rFonts w:ascii="Arial" w:hAnsi="Arial"/>
          <w:color w:val="000000"/>
          <w:sz w:val="22"/>
          <w:szCs w:val="22"/>
        </w:rPr>
        <w:t>When users create a MAGNET Field job file while working in their Autodesk Point Layout environment, all 3D design data is efficiently combined and customized for eventual work at their active project site.</w:t>
      </w:r>
    </w:p>
    <w:p w14:paraId="0147827F" w14:textId="77777777" w:rsidR="003D5D28" w:rsidRPr="003D5D28" w:rsidRDefault="003D5D28" w:rsidP="003D5D28">
      <w:pPr>
        <w:tabs>
          <w:tab w:val="left" w:pos="270"/>
        </w:tabs>
        <w:rPr>
          <w:rFonts w:ascii="Arial" w:hAnsi="Arial"/>
          <w:color w:val="000000"/>
          <w:sz w:val="22"/>
          <w:szCs w:val="22"/>
        </w:rPr>
      </w:pPr>
    </w:p>
    <w:p w14:paraId="2F66063F" w14:textId="77777777" w:rsidR="003D5D28" w:rsidRPr="003D5D28" w:rsidRDefault="003D5D28" w:rsidP="003D5D28">
      <w:pPr>
        <w:tabs>
          <w:tab w:val="left" w:pos="270"/>
        </w:tabs>
        <w:rPr>
          <w:rFonts w:ascii="Arial" w:hAnsi="Arial"/>
          <w:color w:val="000000"/>
          <w:sz w:val="22"/>
          <w:szCs w:val="22"/>
        </w:rPr>
      </w:pPr>
      <w:r w:rsidRPr="003D5D28">
        <w:rPr>
          <w:rFonts w:ascii="Arial" w:hAnsi="Arial"/>
          <w:color w:val="000000"/>
          <w:sz w:val="22"/>
          <w:szCs w:val="22"/>
        </w:rPr>
        <w:t xml:space="preserve">This new MAGNET Field job file can then be instantly transferred via MAGNET Enterprise and opened directly in MAGNET Field or MAGNET Field Layout data collection software for immediate continuation of work. “All data is managed securely through Topcon’s MAGNET Enterprise global web services,” said </w:t>
      </w:r>
      <w:proofErr w:type="spellStart"/>
      <w:r w:rsidRPr="003D5D28">
        <w:rPr>
          <w:rFonts w:ascii="Arial" w:hAnsi="Arial"/>
          <w:color w:val="000000"/>
          <w:sz w:val="22"/>
          <w:szCs w:val="22"/>
        </w:rPr>
        <w:t>Hallett</w:t>
      </w:r>
      <w:proofErr w:type="spellEnd"/>
      <w:r w:rsidRPr="003D5D28">
        <w:rPr>
          <w:rFonts w:ascii="Arial" w:hAnsi="Arial"/>
          <w:color w:val="000000"/>
          <w:sz w:val="22"/>
          <w:szCs w:val="22"/>
        </w:rPr>
        <w:t>.</w:t>
      </w:r>
    </w:p>
    <w:p w14:paraId="1D24A199" w14:textId="77777777" w:rsidR="00F86AB9" w:rsidRPr="005D0903" w:rsidRDefault="00F86AB9" w:rsidP="00F86AB9">
      <w:pPr>
        <w:tabs>
          <w:tab w:val="left" w:pos="270"/>
        </w:tabs>
        <w:rPr>
          <w:rFonts w:ascii="Arial" w:hAnsi="Arial"/>
          <w:color w:val="000000"/>
          <w:sz w:val="4"/>
          <w:szCs w:val="22"/>
        </w:rPr>
      </w:pPr>
    </w:p>
    <w:p w14:paraId="3AF5639C" w14:textId="77777777" w:rsidR="006456AE" w:rsidRPr="00042390" w:rsidRDefault="007530F6" w:rsidP="00E07F73">
      <w:pPr>
        <w:tabs>
          <w:tab w:val="left" w:pos="270"/>
        </w:tabs>
        <w:jc w:val="center"/>
        <w:rPr>
          <w:rFonts w:ascii="Arial" w:hAnsi="Arial" w:cs="Arial"/>
          <w:i/>
          <w:sz w:val="16"/>
          <w:szCs w:val="18"/>
        </w:rPr>
      </w:pPr>
      <w:r w:rsidRPr="00042390">
        <w:rPr>
          <w:rFonts w:ascii="Arial" w:hAnsi="Arial" w:cs="Arial"/>
          <w:i/>
          <w:sz w:val="16"/>
          <w:szCs w:val="18"/>
        </w:rPr>
        <w:t># # #</w:t>
      </w:r>
    </w:p>
    <w:p w14:paraId="79F965FF" w14:textId="77777777" w:rsidR="00F36B42" w:rsidRPr="005D0903" w:rsidRDefault="00F36B42" w:rsidP="00E07F73">
      <w:pPr>
        <w:tabs>
          <w:tab w:val="left" w:pos="270"/>
        </w:tabs>
        <w:jc w:val="center"/>
        <w:rPr>
          <w:rFonts w:ascii="Arial" w:hAnsi="Arial" w:cs="Arial"/>
          <w:sz w:val="4"/>
          <w:szCs w:val="18"/>
        </w:rPr>
      </w:pPr>
    </w:p>
    <w:p w14:paraId="1C4E1146" w14:textId="77777777" w:rsidR="00F36B42" w:rsidRPr="005D0903" w:rsidRDefault="00F36B42" w:rsidP="00F36B42">
      <w:pPr>
        <w:tabs>
          <w:tab w:val="left" w:pos="270"/>
        </w:tabs>
        <w:rPr>
          <w:rFonts w:ascii="Arial" w:hAnsi="Arial"/>
          <w:b/>
          <w:color w:val="808080" w:themeColor="background1" w:themeShade="80"/>
          <w:sz w:val="14"/>
          <w:szCs w:val="14"/>
        </w:rPr>
      </w:pPr>
      <w:r w:rsidRPr="005D0903">
        <w:rPr>
          <w:rFonts w:ascii="Arial" w:hAnsi="Arial"/>
          <w:b/>
          <w:i/>
          <w:iCs/>
          <w:color w:val="808080" w:themeColor="background1" w:themeShade="80"/>
          <w:sz w:val="14"/>
          <w:szCs w:val="14"/>
        </w:rPr>
        <w:t>Autodesk is a registered trademark of Autodesk, Inc.</w:t>
      </w:r>
    </w:p>
    <w:p w14:paraId="307F3CD9" w14:textId="77777777" w:rsidR="00F36B42" w:rsidRPr="005D0903" w:rsidRDefault="00F36B42" w:rsidP="00E07F73">
      <w:pPr>
        <w:tabs>
          <w:tab w:val="left" w:pos="270"/>
        </w:tabs>
        <w:jc w:val="center"/>
        <w:rPr>
          <w:rFonts w:ascii="Arial" w:hAnsi="Arial" w:cs="Arial"/>
          <w:sz w:val="14"/>
          <w:szCs w:val="14"/>
        </w:rPr>
      </w:pPr>
    </w:p>
    <w:p w14:paraId="19F0EC39" w14:textId="2197D53A" w:rsidR="00773A4C" w:rsidRPr="005D0903" w:rsidRDefault="001855FB" w:rsidP="00E07F73">
      <w:pPr>
        <w:tabs>
          <w:tab w:val="left" w:pos="270"/>
        </w:tabs>
        <w:rPr>
          <w:rFonts w:ascii="Arial" w:hAnsi="Arial"/>
          <w:color w:val="808080" w:themeColor="background1" w:themeShade="80"/>
          <w:sz w:val="14"/>
          <w:szCs w:val="14"/>
        </w:rPr>
      </w:pPr>
      <w:r w:rsidRPr="005D0903">
        <w:rPr>
          <w:rFonts w:ascii="Arial" w:hAnsi="Arial"/>
          <w:b/>
          <w:color w:val="808080" w:themeColor="background1" w:themeShade="80"/>
          <w:sz w:val="14"/>
          <w:szCs w:val="14"/>
        </w:rPr>
        <w:t>About Topcon Positioning Group</w:t>
      </w:r>
      <w:r w:rsidRPr="005D0903">
        <w:rPr>
          <w:rFonts w:ascii="Arial" w:hAnsi="Arial"/>
          <w:b/>
          <w:color w:val="808080" w:themeColor="background1" w:themeShade="80"/>
          <w:sz w:val="14"/>
          <w:szCs w:val="14"/>
        </w:rPr>
        <w:br/>
      </w:r>
      <w:r w:rsidR="002C1A8C" w:rsidRPr="005D0903">
        <w:rPr>
          <w:rFonts w:ascii="Arial" w:hAnsi="Arial"/>
          <w:color w:val="808080" w:themeColor="background1" w:themeShade="80"/>
          <w:sz w:val="14"/>
          <w:szCs w:val="14"/>
        </w:rPr>
        <w:t>Topcon Positioning Group is headquartered in Livermore, California, USA (</w:t>
      </w:r>
      <w:hyperlink r:id="rId10" w:history="1">
        <w:r w:rsidR="002C1A8C" w:rsidRPr="005D0903">
          <w:rPr>
            <w:rStyle w:val="Hyperlink"/>
            <w:rFonts w:ascii="Arial" w:hAnsi="Arial"/>
            <w:sz w:val="14"/>
            <w:szCs w:val="14"/>
          </w:rPr>
          <w:t>topconpositioning.com</w:t>
        </w:r>
      </w:hyperlink>
      <w:r w:rsidR="002C1A8C" w:rsidRPr="005D0903">
        <w:rPr>
          <w:rFonts w:ascii="Arial" w:hAnsi="Arial"/>
          <w:color w:val="808080" w:themeColor="background1" w:themeShade="80"/>
          <w:sz w:val="14"/>
          <w:szCs w:val="14"/>
        </w:rPr>
        <w:t xml:space="preserve">). Its European head office is in </w:t>
      </w:r>
      <w:proofErr w:type="spellStart"/>
      <w:r w:rsidR="002C1A8C" w:rsidRPr="005D0903">
        <w:rPr>
          <w:rFonts w:ascii="Arial" w:hAnsi="Arial"/>
          <w:color w:val="808080" w:themeColor="background1" w:themeShade="80"/>
          <w:sz w:val="14"/>
          <w:szCs w:val="14"/>
        </w:rPr>
        <w:t>Capelle</w:t>
      </w:r>
      <w:proofErr w:type="spellEnd"/>
      <w:r w:rsidR="002C1A8C" w:rsidRPr="005D0903">
        <w:rPr>
          <w:rFonts w:ascii="Arial" w:hAnsi="Arial"/>
          <w:color w:val="808080" w:themeColor="background1" w:themeShade="80"/>
          <w:sz w:val="14"/>
          <w:szCs w:val="14"/>
        </w:rPr>
        <w:t xml:space="preserve"> </w:t>
      </w:r>
      <w:proofErr w:type="spellStart"/>
      <w:r w:rsidR="002C1A8C" w:rsidRPr="005D0903">
        <w:rPr>
          <w:rFonts w:ascii="Arial" w:hAnsi="Arial"/>
          <w:color w:val="808080" w:themeColor="background1" w:themeShade="80"/>
          <w:sz w:val="14"/>
          <w:szCs w:val="14"/>
        </w:rPr>
        <w:t>a/d</w:t>
      </w:r>
      <w:proofErr w:type="spellEnd"/>
      <w:r w:rsidR="002C1A8C" w:rsidRPr="005D0903">
        <w:rPr>
          <w:rFonts w:ascii="Arial" w:hAnsi="Arial"/>
          <w:color w:val="808080" w:themeColor="background1" w:themeShade="80"/>
          <w:sz w:val="14"/>
          <w:szCs w:val="14"/>
        </w:rPr>
        <w:t xml:space="preserve"> </w:t>
      </w:r>
      <w:proofErr w:type="spellStart"/>
      <w:r w:rsidR="002C1A8C" w:rsidRPr="005D0903">
        <w:rPr>
          <w:rFonts w:ascii="Arial" w:hAnsi="Arial"/>
          <w:color w:val="808080" w:themeColor="background1" w:themeShade="80"/>
          <w:sz w:val="14"/>
          <w:szCs w:val="14"/>
        </w:rPr>
        <w:t>IJssel</w:t>
      </w:r>
      <w:proofErr w:type="spellEnd"/>
      <w:r w:rsidR="002C1A8C" w:rsidRPr="005D0903">
        <w:rPr>
          <w:rFonts w:ascii="Arial" w:hAnsi="Arial"/>
          <w:color w:val="808080" w:themeColor="background1" w:themeShade="80"/>
          <w:sz w:val="14"/>
          <w:szCs w:val="14"/>
        </w:rPr>
        <w:t>, the Netherlands (</w:t>
      </w:r>
      <w:hyperlink r:id="rId11" w:history="1">
        <w:r w:rsidR="002C1A8C" w:rsidRPr="005D0903">
          <w:rPr>
            <w:rStyle w:val="Hyperlink"/>
            <w:rFonts w:ascii="Arial" w:hAnsi="Arial"/>
            <w:sz w:val="14"/>
            <w:szCs w:val="14"/>
          </w:rPr>
          <w:t>topconpositioning.eu</w:t>
        </w:r>
      </w:hyperlink>
      <w:r w:rsidR="002C1A8C" w:rsidRPr="005D0903">
        <w:rPr>
          <w:rFonts w:ascii="Arial" w:hAnsi="Arial"/>
          <w:color w:val="808080" w:themeColor="background1" w:themeShade="80"/>
          <w:sz w:val="14"/>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2C1A8C" w:rsidRPr="005D0903">
        <w:rPr>
          <w:rFonts w:ascii="Arial" w:hAnsi="Arial"/>
          <w:color w:val="808080" w:themeColor="background1" w:themeShade="80"/>
          <w:sz w:val="14"/>
          <w:szCs w:val="14"/>
        </w:rPr>
        <w:t>Wachendorff</w:t>
      </w:r>
      <w:proofErr w:type="spellEnd"/>
      <w:r w:rsidR="002C1A8C" w:rsidRPr="005D0903">
        <w:rPr>
          <w:rFonts w:ascii="Arial" w:hAnsi="Arial"/>
          <w:color w:val="808080" w:themeColor="background1" w:themeShade="80"/>
          <w:sz w:val="14"/>
          <w:szCs w:val="14"/>
        </w:rPr>
        <w:t xml:space="preserve"> </w:t>
      </w:r>
      <w:proofErr w:type="spellStart"/>
      <w:r w:rsidR="002C1A8C" w:rsidRPr="005D0903">
        <w:rPr>
          <w:rFonts w:ascii="Arial" w:hAnsi="Arial"/>
          <w:color w:val="808080" w:themeColor="background1" w:themeShade="80"/>
          <w:sz w:val="14"/>
          <w:szCs w:val="14"/>
        </w:rPr>
        <w:t>Elektronik</w:t>
      </w:r>
      <w:proofErr w:type="spellEnd"/>
      <w:r w:rsidR="002C1A8C" w:rsidRPr="005D0903">
        <w:rPr>
          <w:rFonts w:ascii="Arial" w:hAnsi="Arial"/>
          <w:color w:val="808080" w:themeColor="background1" w:themeShade="80"/>
          <w:sz w:val="14"/>
          <w:szCs w:val="14"/>
        </w:rPr>
        <w:t xml:space="preserve">, </w:t>
      </w:r>
      <w:proofErr w:type="spellStart"/>
      <w:r w:rsidR="002C1A8C" w:rsidRPr="005D0903">
        <w:rPr>
          <w:rFonts w:ascii="Arial" w:hAnsi="Arial"/>
          <w:color w:val="808080" w:themeColor="background1" w:themeShade="80"/>
          <w:sz w:val="14"/>
          <w:szCs w:val="14"/>
        </w:rPr>
        <w:t>Digi</w:t>
      </w:r>
      <w:proofErr w:type="spellEnd"/>
      <w:r w:rsidR="002C1A8C" w:rsidRPr="005D0903">
        <w:rPr>
          <w:rFonts w:ascii="Arial" w:hAnsi="Arial"/>
          <w:color w:val="808080" w:themeColor="background1" w:themeShade="80"/>
          <w:sz w:val="14"/>
          <w:szCs w:val="14"/>
        </w:rPr>
        <w:t>-Star, RDS Technology, NORAC and 2LS. Topcon Corporation (</w:t>
      </w:r>
      <w:hyperlink r:id="rId12" w:history="1">
        <w:r w:rsidR="002C1A8C" w:rsidRPr="005D0903">
          <w:rPr>
            <w:rStyle w:val="Hyperlink"/>
            <w:rFonts w:ascii="Arial" w:hAnsi="Arial"/>
            <w:sz w:val="14"/>
            <w:szCs w:val="14"/>
          </w:rPr>
          <w:t>topcon.com</w:t>
        </w:r>
      </w:hyperlink>
      <w:r w:rsidR="002C1A8C" w:rsidRPr="005D0903">
        <w:rPr>
          <w:rFonts w:ascii="Arial" w:hAnsi="Arial"/>
          <w:color w:val="808080" w:themeColor="background1" w:themeShade="80"/>
          <w:sz w:val="14"/>
          <w:szCs w:val="14"/>
        </w:rPr>
        <w:t>), founded in 1932, is traded on the Tokyo Stock Exchange (7732). </w:t>
      </w:r>
    </w:p>
    <w:p w14:paraId="59050435" w14:textId="77777777" w:rsidR="00F36B42" w:rsidRPr="005D0903" w:rsidRDefault="00F36B42" w:rsidP="00E07F73">
      <w:pPr>
        <w:tabs>
          <w:tab w:val="left" w:pos="270"/>
        </w:tabs>
        <w:rPr>
          <w:rFonts w:ascii="Arial" w:hAnsi="Arial"/>
          <w:b/>
          <w:i/>
          <w:iCs/>
          <w:color w:val="808080" w:themeColor="background1" w:themeShade="80"/>
          <w:sz w:val="14"/>
          <w:szCs w:val="14"/>
        </w:rPr>
      </w:pPr>
    </w:p>
    <w:p w14:paraId="73C59904" w14:textId="77777777" w:rsidR="00EB1000" w:rsidRPr="005D0903" w:rsidRDefault="00EB1000" w:rsidP="00E07F73">
      <w:pPr>
        <w:tabs>
          <w:tab w:val="left" w:pos="270"/>
        </w:tabs>
        <w:rPr>
          <w:rFonts w:ascii="Arial" w:hAnsi="Arial"/>
          <w:b/>
          <w:color w:val="808080" w:themeColor="background1" w:themeShade="80"/>
          <w:sz w:val="14"/>
          <w:szCs w:val="14"/>
        </w:rPr>
      </w:pPr>
      <w:r w:rsidRPr="005D0903">
        <w:rPr>
          <w:rFonts w:ascii="Arial" w:hAnsi="Arial"/>
          <w:b/>
          <w:color w:val="808080" w:themeColor="background1" w:themeShade="80"/>
          <w:sz w:val="14"/>
          <w:szCs w:val="14"/>
        </w:rPr>
        <w:t>Press Information</w:t>
      </w:r>
    </w:p>
    <w:p w14:paraId="7E8C364B" w14:textId="3CE97EB4" w:rsidR="007530F6" w:rsidRPr="005D0903" w:rsidRDefault="007530F6" w:rsidP="00E07F73">
      <w:pPr>
        <w:tabs>
          <w:tab w:val="left" w:pos="270"/>
        </w:tabs>
        <w:rPr>
          <w:rFonts w:ascii="Arial" w:hAnsi="Arial"/>
          <w:color w:val="666666"/>
          <w:sz w:val="14"/>
          <w:szCs w:val="14"/>
        </w:rPr>
      </w:pPr>
      <w:r w:rsidRPr="005D0903">
        <w:rPr>
          <w:rFonts w:ascii="Arial" w:hAnsi="Arial"/>
          <w:color w:val="808080" w:themeColor="background1" w:themeShade="80"/>
          <w:sz w:val="14"/>
          <w:szCs w:val="14"/>
        </w:rPr>
        <w:t xml:space="preserve">Topcon Positioning </w:t>
      </w:r>
      <w:r w:rsidRPr="005D0903">
        <w:rPr>
          <w:rFonts w:ascii="Arial" w:hAnsi="Arial"/>
          <w:color w:val="666666"/>
          <w:sz w:val="14"/>
          <w:szCs w:val="14"/>
        </w:rPr>
        <w:t>Group</w:t>
      </w:r>
    </w:p>
    <w:p w14:paraId="666F55C7" w14:textId="6EA2787D" w:rsidR="00F0754B" w:rsidRPr="005D0903" w:rsidRDefault="001513F6" w:rsidP="00E07F73">
      <w:pPr>
        <w:tabs>
          <w:tab w:val="left" w:pos="270"/>
        </w:tabs>
        <w:rPr>
          <w:rFonts w:ascii="Arial" w:hAnsi="Arial"/>
          <w:color w:val="666666"/>
          <w:sz w:val="14"/>
          <w:szCs w:val="14"/>
        </w:rPr>
      </w:pPr>
      <w:hyperlink r:id="rId13" w:history="1">
        <w:r w:rsidR="00F0754B" w:rsidRPr="005D0903">
          <w:rPr>
            <w:rStyle w:val="Hyperlink"/>
            <w:rFonts w:ascii="Arial" w:hAnsi="Arial"/>
            <w:sz w:val="14"/>
            <w:szCs w:val="14"/>
          </w:rPr>
          <w:t>CorpComm@topcon.com</w:t>
        </w:r>
      </w:hyperlink>
    </w:p>
    <w:p w14:paraId="37C04793" w14:textId="3101AC03" w:rsidR="00EB1000" w:rsidRPr="005D0903" w:rsidRDefault="00A74E93" w:rsidP="00E07F73">
      <w:pPr>
        <w:tabs>
          <w:tab w:val="left" w:pos="270"/>
        </w:tabs>
        <w:rPr>
          <w:rFonts w:ascii="Arial" w:hAnsi="Arial"/>
          <w:color w:val="808080" w:themeColor="background1" w:themeShade="80"/>
          <w:sz w:val="14"/>
          <w:szCs w:val="14"/>
        </w:rPr>
      </w:pPr>
      <w:r w:rsidRPr="005D0903">
        <w:rPr>
          <w:rFonts w:ascii="Arial" w:hAnsi="Arial"/>
          <w:color w:val="808080" w:themeColor="background1" w:themeShade="80"/>
          <w:sz w:val="14"/>
          <w:szCs w:val="14"/>
        </w:rPr>
        <w:t>USA: Staci Fitzgerald,</w:t>
      </w:r>
      <w:r w:rsidR="00EB1000" w:rsidRPr="005D0903">
        <w:rPr>
          <w:rFonts w:ascii="Arial" w:hAnsi="Arial"/>
          <w:color w:val="808080" w:themeColor="background1" w:themeShade="80"/>
          <w:sz w:val="14"/>
          <w:szCs w:val="14"/>
        </w:rPr>
        <w:t xml:space="preserve"> </w:t>
      </w:r>
      <w:r w:rsidR="00FD032D" w:rsidRPr="005D0903">
        <w:rPr>
          <w:rFonts w:ascii="Arial" w:hAnsi="Arial"/>
          <w:color w:val="808080" w:themeColor="background1" w:themeShade="80"/>
          <w:sz w:val="14"/>
          <w:szCs w:val="14"/>
        </w:rPr>
        <w:t xml:space="preserve">+1 </w:t>
      </w:r>
      <w:r w:rsidR="00EB1000" w:rsidRPr="005D0903">
        <w:rPr>
          <w:rFonts w:ascii="Arial" w:hAnsi="Arial"/>
          <w:color w:val="808080" w:themeColor="background1" w:themeShade="80"/>
          <w:sz w:val="14"/>
          <w:szCs w:val="14"/>
        </w:rPr>
        <w:t>925-245-8610</w:t>
      </w:r>
    </w:p>
    <w:p w14:paraId="658FC267" w14:textId="0D0ECE86" w:rsidR="00853C9A" w:rsidRPr="005D0903" w:rsidRDefault="00EB1000" w:rsidP="00C81D46">
      <w:pPr>
        <w:tabs>
          <w:tab w:val="left" w:pos="270"/>
        </w:tabs>
        <w:rPr>
          <w:rFonts w:ascii="Arial" w:hAnsi="Arial"/>
          <w:color w:val="808080" w:themeColor="background1" w:themeShade="80"/>
          <w:sz w:val="14"/>
          <w:szCs w:val="14"/>
        </w:rPr>
      </w:pPr>
      <w:r w:rsidRPr="005D0903">
        <w:rPr>
          <w:rFonts w:ascii="Arial" w:hAnsi="Arial"/>
          <w:color w:val="808080" w:themeColor="background1" w:themeShade="80"/>
          <w:sz w:val="14"/>
          <w:szCs w:val="14"/>
        </w:rPr>
        <w:t>Europe: Stuart Proctor</w:t>
      </w:r>
      <w:r w:rsidR="00A74E93" w:rsidRPr="005D0903">
        <w:rPr>
          <w:rFonts w:ascii="Arial" w:hAnsi="Arial"/>
          <w:color w:val="808080" w:themeColor="background1" w:themeShade="80"/>
          <w:sz w:val="14"/>
          <w:szCs w:val="14"/>
        </w:rPr>
        <w:t>,</w:t>
      </w:r>
      <w:r w:rsidR="00FD032D" w:rsidRPr="005D0903">
        <w:rPr>
          <w:rFonts w:ascii="Arial" w:hAnsi="Arial"/>
          <w:color w:val="808080" w:themeColor="background1" w:themeShade="80"/>
          <w:sz w:val="14"/>
          <w:szCs w:val="14"/>
        </w:rPr>
        <w:t xml:space="preserve"> +31 10 458 50 77</w:t>
      </w:r>
    </w:p>
    <w:sectPr w:rsidR="00853C9A" w:rsidRPr="005D0903" w:rsidSect="0009234C">
      <w:headerReference w:type="even" r:id="rId14"/>
      <w:headerReference w:type="default" r:id="rId15"/>
      <w:footerReference w:type="even" r:id="rId16"/>
      <w:footerReference w:type="default" r:id="rId17"/>
      <w:headerReference w:type="first" r:id="rId18"/>
      <w:footerReference w:type="first" r:id="rId19"/>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283069" w:rsidRDefault="002830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283069" w:rsidRDefault="0028306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8205DE" w:rsidRPr="00283069" w:rsidRDefault="00283069"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283069" w:rsidRDefault="002830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283069" w:rsidRDefault="002830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42390"/>
    <w:rsid w:val="00073328"/>
    <w:rsid w:val="000872FF"/>
    <w:rsid w:val="0009234C"/>
    <w:rsid w:val="000B5413"/>
    <w:rsid w:val="000C3C4C"/>
    <w:rsid w:val="000C6429"/>
    <w:rsid w:val="000D117E"/>
    <w:rsid w:val="00105D3C"/>
    <w:rsid w:val="001513F6"/>
    <w:rsid w:val="00163F32"/>
    <w:rsid w:val="00177523"/>
    <w:rsid w:val="001855FB"/>
    <w:rsid w:val="001A276A"/>
    <w:rsid w:val="001A5950"/>
    <w:rsid w:val="001A7E0C"/>
    <w:rsid w:val="001B6BA0"/>
    <w:rsid w:val="001D47AE"/>
    <w:rsid w:val="001E495F"/>
    <w:rsid w:val="001F02F7"/>
    <w:rsid w:val="00211CAC"/>
    <w:rsid w:val="0021353A"/>
    <w:rsid w:val="00220127"/>
    <w:rsid w:val="00234742"/>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D5D28"/>
    <w:rsid w:val="003F134C"/>
    <w:rsid w:val="003F5E34"/>
    <w:rsid w:val="00413E95"/>
    <w:rsid w:val="00416269"/>
    <w:rsid w:val="0043387D"/>
    <w:rsid w:val="00433A38"/>
    <w:rsid w:val="00471166"/>
    <w:rsid w:val="004C2A52"/>
    <w:rsid w:val="00513E5B"/>
    <w:rsid w:val="0053789D"/>
    <w:rsid w:val="005378E1"/>
    <w:rsid w:val="005502C7"/>
    <w:rsid w:val="0058710D"/>
    <w:rsid w:val="00587A94"/>
    <w:rsid w:val="005A23A0"/>
    <w:rsid w:val="005A4B01"/>
    <w:rsid w:val="005C44F8"/>
    <w:rsid w:val="005C48E8"/>
    <w:rsid w:val="005D0903"/>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74E93"/>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0754B"/>
    <w:rsid w:val="00F36B42"/>
    <w:rsid w:val="00F463E2"/>
    <w:rsid w:val="00F55F20"/>
    <w:rsid w:val="00F757D3"/>
    <w:rsid w:val="00F81B4F"/>
    <w:rsid w:val="00F84020"/>
    <w:rsid w:val="00F86AB9"/>
    <w:rsid w:val="00F86B3B"/>
    <w:rsid w:val="00F94B69"/>
    <w:rsid w:val="00F94E58"/>
    <w:rsid w:val="00FA3772"/>
    <w:rsid w:val="00FB0DA8"/>
    <w:rsid w:val="00FB146B"/>
    <w:rsid w:val="00FB4CB7"/>
    <w:rsid w:val="00FB613D"/>
    <w:rsid w:val="00FC36F6"/>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642DB-94B2-C443-BF9D-E6B8AE21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434</Words>
  <Characters>2478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2907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7</cp:revision>
  <cp:lastPrinted>2015-08-13T12:52:00Z</cp:lastPrinted>
  <dcterms:created xsi:type="dcterms:W3CDTF">2016-06-24T16:02:00Z</dcterms:created>
  <dcterms:modified xsi:type="dcterms:W3CDTF">2016-06-24T17:02:00Z</dcterms:modified>
  <cp:category/>
</cp:coreProperties>
</file>